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8f61e94d4475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22988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"Matija Gubec"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406.111,49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442.749,89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387.692,17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498.789,75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56.039,86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114,24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56.154,10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prihodi u razdoblju od 1.1.2025. do 30.6.2025. ostvareni su u iznosu od 442.749,00, povećani su za 9% u odnosu na isto razdoblje prošle godine zbog povećanog iznosa namijenjenog za plaće zaposlenika. Ukupni rashodi  ostvareni su u iznosu od 498.789,00eura, povećani su za 28,7% zbog nabave materijala putem projekta, službenih putovanja(stručnih usavršavanja).
Manjak prihoda i primitaka odnosi se na iskazivanje plaće za 6./2025. - obračunati prihodi poslovanja-nenaplaćeni.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obveza je 0,00 jer se obveze iz obrasca odnose na plaćanja u budućim razdobljima, plaća za 6./2025.koja dospijeva u 7.mjesecu te na račune za 6.mjesec koji također dospijevaju u 7.mjesecu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51edffb06b4b1f" /></Relationships>
</file>