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b24822f0418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22988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"Matija Gubec"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819.869,31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884.963,23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802.909,44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952.866,55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67.903,32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4.394,26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3.152,58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71.055,90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u razdoblju od 1.1.2025. do 31.12.2025. ostvareni su u iznosu od 884.963,23 povećani su za 9% u odnosu na isto razdoblje prošle godine zbog povećanog iznosa namijenjenog za plaće zaposlenika. Ukupni rashodi ostvareni su u iznosu od 952.866,55eura, povećani su za 18,7% zbog nabave materijala putem projekta, službenih putovanja(stručnih usavršavanja). Manjak prihoda i primitaka odnosi se na iskazivanje plaće za 12./2025. - obračunati prihodi poslovanja-nenaplaćeni.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je 0,00 jer se obveze iz obrasca odnose na plaćanja u budućim razdobljima, plaća za 12./2025.koja dospijeva u 1.mjesecu 2026. te na račune za 12.mjesec koji također dospijevaju u 1.mjesecu 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965239670f4bcd" /></Relationships>
</file>